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w:t>
      </w:r>
      <w:r>
        <w:t xml:space="preserve"> </w:t>
      </w:r>
      <w:r>
        <w:t xml:space="preserve">(2, 11–13)</w:t>
      </w:r>
      <w:r>
        <w:t xml:space="preserve">.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immunossupressive effect of the vaccine strain, a thorough investigation of the culprit viral genes mediating this phenomenon is essential. However, the transcriptome (splicing and gene expression patterns) of THEV has not been characterized, making an investigation of specific IS-related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(10, 19)</w:t>
      </w:r>
      <w:r>
        <w:t xml:space="preserve">. MAdV transcription is temporally regulated; therefore,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 with a full replication cycle of about 18-hours post infection (hpi)</w:t>
      </w:r>
      <w:r>
        <w:t xml:space="preserve"> </w:t>
      </w:r>
      <w:r>
        <w:t xml:space="preserve">(24)</w:t>
      </w:r>
      <w:r>
        <w:t xml:space="preserve">.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this provided good coverage/depth, leaving no regions unmapped. The mapped reads to the virus genome increased substantially from a mere 432 reads at 4 hpi to 16.9 million reads at 72 hpi (</w:t>
      </w:r>
      <w:r>
        <w:rPr>
          <w:b/>
          <w:bCs/>
        </w:rPr>
        <w:t xml:space="preserve">Table 1</w:t>
      </w:r>
      <w:r>
        <w:t xml:space="preserve">,</w:t>
      </w:r>
      <w:r>
        <w:t xml:space="preserve"> </w:t>
      </w:r>
      <w:r>
        <w:rPr>
          <w:b/>
          <w:bCs/>
        </w:rPr>
        <w:t xml:space="preserve">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hpi had less than 10 reads supporting each one, averaging a mere 2.8 reads per junction. Conversely, the 2,374 unique junctions at 72 hpi averaged 898.4 reads per junction, some junctions having coverage as high as 322,677 reads. The substantial increases in splice junction and mapping reads to the THEV genome over time denotes an active infection and a successful viral replication, and correlates with our quantitative PCR (qPCR) assay quantifying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meet the 1% threshold, and were comprised of predominantly early region (E1, E2, E3, and E4) junctions, albeit the MLTU was the single most preponderant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also. However, here, the MLP-derived junctions were unsurprisingly even more preponderant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other viral promoters</w:t>
      </w:r>
      <w:r>
        <w:t xml:space="preserve"> </w:t>
      </w:r>
      <w:r>
        <w:t xml:space="preserve">(10)</w:t>
      </w:r>
      <w:r>
        <w:t xml:space="preserve">. In MAdVs, this region is subdivided into E1a and E2b units, but the transcripts found in our data categorized under this region do not appear to be subdivided.</w:t>
      </w:r>
    </w:p>
    <w:p>
      <w:pPr>
        <w:pStyle w:val="BodyText"/>
      </w:pPr>
      <w:r>
        <w:t xml:space="preserve">Only two ORFs (ORF1 [sialidase] and Hyd) are predicted in this region; however, we discovered four novel transcripts in this region, which collectively contain 3 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(SC), TRXPT_2 encodes the largest protein in this region – a 64.3 kDa, 580 aa protein (ORF10) with the same SC as ORF9 (position 211 bp). ORF10 spans almost the entire predicted ORF1 and Hyd, coming short in two regards: it is spliced from 1655 bp to 1964 bp (ORF1’s C-terminus, including the stop codon), and its stop codon (STC; position 2312) is 13 bp short of the Hyd STC. However, it has an SC 102 bp upstream and in-frame with ORF1’s predicted SC. Thus, ORF10 shares substantial protein sequence similarity with ORF1 but not with Hyd, as the SC of Hyd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CP remains unaffected. Its 5’-most CDS, beginning at 1965 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multi-exonic 15.9 kDa, 143 aa protein (ORF11) with the same SC as ORF9 and ORF10 but with a unique STC.</w:t>
      </w:r>
    </w:p>
    <w:p>
      <w:pPr>
        <w:pStyle w:val="BodyText"/>
      </w:pPr>
      <w:r>
        <w:t xml:space="preserve">The splice junctions of all transcripts in this region (except the junction for TRXPT_4) were validated by cloning of viral cDNA and Sanger sequencing (</w:t>
      </w:r>
      <w:r>
        <w:rPr>
          <w:b/>
          <w:bCs/>
        </w:rPr>
        <w:t xml:space="preserve">Supplementary PCR methods</w:t>
      </w:r>
      <w:r>
        <w:t xml:space="preserve">). During the validation of TRXPT_2, we found ORF1 to be present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 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(tDBP) because the SC utilized by TRXPT_21, is followed shortly by STCs in the retained intron. The SC 173 bp downstream of the DBP 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kDa). If secondary SC (secSC) usage is considered, with SC at 6768 bp and STC at 3430 bp, the encoded product is identical to the predicted Ad-pol (polymerase) protein (1112 residues; 129.2 kDa). TRXPT_6 differs from TRXPT_7 by containing an extra splice site at 3447-3515 bp. However, the CP remains similar to that of TRXPT_7 except the Ad-pol encoded from the secSC is a truncated isoform with a new STC resulting from the splice site.</w:t>
      </w:r>
    </w:p>
    <w:p>
      <w:pPr>
        <w:pStyle w:val="BodyText"/>
      </w:pPr>
      <w:r>
        <w:t xml:space="preserve">While both TRXPT_6 and TRXPT_7 have the CP for Ad-pol with secSC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(10, 17, 18)</w:t>
      </w:r>
      <w:r>
        <w:t xml:space="preserve">. However, some E3 transcripts use the TSS of the MLP. Due to sharing the same TSS, in MAdVs, secSC usage is heavily relied on for gene expression in this region except for 12.5K and transcripts using the MLP TSS, as utilizing only the first 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kDa, 171 residue protein spanning four exons instead of the predicted 120 aa protein. TRXPT_24 also has the CP for pVIII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secSC usage on this transcript yields the predicted 22K ORF precisely as predicted. It also has the CP for pVIII and eE3 in that order. Furthermore, during the validation of the TRXPT_25 splice junction using primers that span its junction (18,350-18,717 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pVIII as the 5’-most ORF and has the CP for eE3 and Fiber in that order. TRXPT_27 on the other hand, is only a two-exon transcript that is similar to TRXPT_26, only the terminal exon contains the CDSs. It encodes Fiber as the 5’-most ORF, and ORF7 downstream with secSC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kDa, 229 aa), a longer isoform of the predicted ORF8, as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it lacks the novel first ORF (8.3KII) of TRXPT_22.</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MAdV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secSC usage and ribosome shunting</w:t>
      </w:r>
      <w:r>
        <w:t xml:space="preserve"> </w:t>
      </w:r>
      <w:r>
        <w:t xml:space="preserve">(10, 22)</w:t>
      </w:r>
      <w:r>
        <w:t xml:space="preserve">. While there is no reliable method of predicting how efficiently any given AUG will be used, AdVs use secondary AUGs as initiation codons for most E1b proteins and for some E3 proteins. In fact, recent studies show that secSC usage is found transcriptome-wide. This is thought to occur because translation initiation at the first SC is inefficient, allowing downstream 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w:t>
      </w:r>
      <w:r>
        <w:t xml:space="preserve"> </w:t>
      </w:r>
      <w:r>
        <w:t xml:space="preserve">(10, 22)</w:t>
      </w:r>
      <w:r>
        <w:t xml:space="preserve">.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(10, 17, 22, 29)</w:t>
      </w:r>
      <w:r>
        <w:t xml:space="preserve">.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decreases measurably from the onset of the late phase (see</w:t>
      </w:r>
      <w:r>
        <w:t xml:space="preserve"> </w:t>
      </w:r>
      <w:r>
        <w:rPr>
          <w:b/>
          <w:bCs/>
        </w:rPr>
        <w:t xml:space="preserve">Figure 5</w:t>
      </w:r>
      <w:r>
        <w:t xml:space="preserve">). In fact, recent studies of some human AdVs show that a virtually unlimited number of combinatorial alternative splicing events occur in an AdV lytic infection, resulting in menagerie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w:t>
      </w:r>
      <w:r>
        <w:t xml:space="preserve"> </w:t>
      </w:r>
      <w:r>
        <w:t xml:space="preserve">(17, 22)</w:t>
      </w:r>
      <w:r>
        <w:t xml:space="preserve">.</w:t>
      </w:r>
    </w:p>
    <w:p>
      <w:pPr>
        <w:pStyle w:val="BodyText"/>
      </w:pPr>
      <w:r>
        <w:t xml:space="preserve">Summarizing all the main points above, we see that the THEV transcriptome bears remarkable overall similarity to the better studied MAdVs. The transcriptome is organized into five TUs, the temporal regulation is divided into early and late genes, and a broad repertoire of transcripts are produced via virtually unlimited alternative splicing. However, the THEV transcriptome appears to be less sophisticated (i.e, it encodes fewer genes) than MAdVs primarily because the MAdV genomes are close to twice as long as that of THEV, which rationally should encode less genes. The lack of subdivision of the E1 region into E1a and E1b is one of the most obvious examples. Also, the MAdV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MAdVs, and also utilize a variant leader sequence (sTPL), it is well-established that significantly more diverse 5’UTRs are employed for MAdV MLTU transcripts. Namely, the TPL (used for majority of transcripts), the so-called x, y, and z leaders, and the i-leader are 5’ leaders utilized by MAdV MLTU mRNAs. Granted, the MAdV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a excellent approach to discovering and fine-tuning the transcriptome characterized in this work. Also, it is likely that future studies repeating this work in other cell lines will yield some interesting insights.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(32)</w:t>
      </w:r>
      <w:r>
        <w:t xml:space="preserve">, a popular workflow management system to drive the pipeline. Briefly, sequencing reads were trimmed with the Trim-galore - version 0.6.6</w:t>
      </w:r>
      <w:r>
        <w:t xml:space="preserve"> </w:t>
      </w:r>
      <w:r>
        <w:t xml:space="preserve">(33)</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computationalanalysis pipeline (</w:t>
      </w:r>
      <w:r>
        <w:rPr>
          <w:i/>
          <w:iCs/>
        </w:rPr>
        <w:t xml:space="preserve">generated with Snakemake</w:t>
      </w:r>
      <w:r>
        <w:t xml:space="preserve">)</w:t>
      </w:r>
    </w:p>
    <w:bookmarkEnd w:id="13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2024-03-19T21:44:58Z</dcterms:created>
  <dcterms:modified xsi:type="dcterms:W3CDTF">2024-03-19T15:45:00Z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